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031E1C" w:rsidRDefault="00031E1C" w:rsidP="00031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1E1C" w:rsidRPr="003012D9" w:rsidRDefault="00031E1C" w:rsidP="00031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031E1C" w:rsidP="00031E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31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31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5B1FAB" w:rsidRDefault="00D622EC" w:rsidP="00031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885BBD">
        <w:rPr>
          <w:rFonts w:ascii="Times New Roman" w:hAnsi="Times New Roman" w:cs="Times New Roman"/>
          <w:b/>
          <w:sz w:val="28"/>
          <w:szCs w:val="28"/>
        </w:rPr>
        <w:t>провідного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спеціаліста </w:t>
      </w:r>
      <w:r w:rsidR="00A64AAC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5B1FAB">
        <w:rPr>
          <w:rFonts w:ascii="Times New Roman" w:hAnsi="Times New Roman" w:cs="Times New Roman"/>
          <w:b/>
          <w:sz w:val="28"/>
          <w:szCs w:val="28"/>
        </w:rPr>
        <w:t>реєстрації судових справ,судової статистики та узагальнення судової практики</w:t>
      </w:r>
    </w:p>
    <w:p w:rsidR="00056F3F" w:rsidRPr="00FE1F60" w:rsidRDefault="00DD5EB1" w:rsidP="00031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3F5D80">
        <w:rPr>
          <w:rFonts w:ascii="Times New Roman" w:hAnsi="Times New Roman" w:cs="Times New Roman"/>
          <w:b/>
          <w:sz w:val="28"/>
          <w:szCs w:val="28"/>
        </w:rPr>
        <w:t>5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посад)</w:t>
      </w:r>
    </w:p>
    <w:p w:rsidR="00DD5EB1" w:rsidRDefault="00DD5EB1" w:rsidP="005B1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7230"/>
      </w:tblGrid>
      <w:tr w:rsidR="00DD5EB1" w:rsidTr="00031E1C">
        <w:trPr>
          <w:trHeight w:val="495"/>
        </w:trPr>
        <w:tc>
          <w:tcPr>
            <w:tcW w:w="10012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F364AE">
        <w:trPr>
          <w:trHeight w:val="70"/>
        </w:trPr>
        <w:tc>
          <w:tcPr>
            <w:tcW w:w="2782" w:type="dxa"/>
          </w:tcPr>
          <w:p w:rsidR="00DD5EB1" w:rsidRPr="00F364AE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230" w:type="dxa"/>
          </w:tcPr>
          <w:p w:rsidR="00885BBD" w:rsidRPr="00031E1C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31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Здійснює реєстрацію адміністративних справ за апеляційними скаргамиізвнесеннямінформації, у томучислі з обмеженим доступом до автоматизованоїсистемидокументообігу суду.</w:t>
            </w:r>
          </w:p>
          <w:p w:rsidR="00885BBD" w:rsidRPr="00031E1C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31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Забезпечує своєчасну передачу на розгляд суддям судових справ та матеріалів через журналипередачі справ, яківиготовляються та роздруковуютьсяпровіднимспеціалістомвідділу в автоматизованійсистемідокументообігу суду.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Формує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журнали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суддям відповідно до вимог Інструкції з діловодства в адміністративних судах України. 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Забезпечуєзберіганняреєстраційнихжурналіввхіднихадміністративних справ та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журналів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суддям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передачу</w:t>
            </w:r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івного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Здійснює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контрольза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рухом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надішли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суду за запитом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судді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звяз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`к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="00031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адходженням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до суду</w:t>
            </w:r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заяв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автоматизованій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системі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документообігу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суду.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Роздруковує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реєстри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журналі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передачі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на</w:t>
            </w:r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суддям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аналітичне 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досл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ідження статистичної інформації та вивчення факторів, які породжують зміну показників, на підставі такого аналізу вносить пропозиції начальнику відділу щодо усунення недоліків.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 участь у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складанні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обробці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звітів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73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Бере участь</w:t>
            </w:r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складанні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аналізу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обліково-статистичної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 та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правосуддя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який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подається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разом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статистичними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звітами два рази на рік до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ержавної судової адміністрації України. 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730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Здійснює контроль за сплатою судового збору та надає керівництву суду інформацію щодо зарахування сплаченої суми судового збору на казначейський рахунок суду відповідно до реєстру 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ідтверджень оплат з Казначейства автоматизованої системи документообігу суду. 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Збирає та обробляє статистичну інформацію в обсязі, необхідному для ведення і заповнення суддівського дось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є.</w:t>
            </w:r>
            <w:proofErr w:type="gramEnd"/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Перевіряє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надіслання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електронних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копій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судових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ішень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суддями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державного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реєстру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судових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відомостей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дати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набрання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законної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сили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судовими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рішеннями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складає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="00A251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довідки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надає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керівництву</w:t>
            </w:r>
            <w:proofErr w:type="spell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суду.</w:t>
            </w:r>
          </w:p>
          <w:p w:rsidR="00885BBD" w:rsidRPr="00885BBD" w:rsidRDefault="00885BBD" w:rsidP="00885BBD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94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Формує справи відділу згідно з номенклатурою справ для передачі їх до </w:t>
            </w:r>
            <w:proofErr w:type="gramStart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івного підрозділу у встановлені строки.</w:t>
            </w:r>
          </w:p>
          <w:p w:rsidR="007422C2" w:rsidRPr="00E51607" w:rsidRDefault="00885BBD" w:rsidP="00885BBD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27" w:firstLine="333"/>
            </w:pPr>
            <w:r w:rsidRPr="00885BBD">
              <w:rPr>
                <w:rFonts w:ascii="Times New Roman" w:hAnsi="Times New Roman"/>
                <w:color w:val="000000"/>
                <w:sz w:val="28"/>
                <w:szCs w:val="28"/>
              </w:rPr>
              <w:t>Інформує начальника відділу про стан роботи з судовими справами.</w:t>
            </w:r>
          </w:p>
        </w:tc>
      </w:tr>
      <w:tr w:rsidR="00F364AE" w:rsidTr="00F364AE">
        <w:trPr>
          <w:trHeight w:val="495"/>
        </w:trPr>
        <w:tc>
          <w:tcPr>
            <w:tcW w:w="2782" w:type="dxa"/>
          </w:tcPr>
          <w:p w:rsidR="00F364AE" w:rsidRPr="00F364AE" w:rsidRDefault="00F364A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30" w:type="dxa"/>
          </w:tcPr>
          <w:p w:rsidR="00F364AE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F364AE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364AE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364AE" w:rsidTr="00F364AE">
        <w:trPr>
          <w:trHeight w:val="495"/>
        </w:trPr>
        <w:tc>
          <w:tcPr>
            <w:tcW w:w="2782" w:type="dxa"/>
          </w:tcPr>
          <w:p w:rsidR="00F364AE" w:rsidRPr="00F364AE" w:rsidRDefault="00F364A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30" w:type="dxa"/>
          </w:tcPr>
          <w:p w:rsidR="00F364AE" w:rsidRPr="001429FE" w:rsidRDefault="00F364AE" w:rsidP="00F36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посад,  безстрокове призначення</w:t>
            </w:r>
          </w:p>
        </w:tc>
      </w:tr>
      <w:tr w:rsidR="00F364AE" w:rsidTr="00F364AE">
        <w:trPr>
          <w:trHeight w:val="495"/>
        </w:trPr>
        <w:tc>
          <w:tcPr>
            <w:tcW w:w="2782" w:type="dxa"/>
          </w:tcPr>
          <w:p w:rsidR="00F364AE" w:rsidRPr="00F364AE" w:rsidRDefault="00F364A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30" w:type="dxa"/>
          </w:tcPr>
          <w:p w:rsidR="00F364AE" w:rsidRPr="003012D9" w:rsidRDefault="00F364AE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F364AE" w:rsidRDefault="00F364AE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F364AE" w:rsidRPr="00B72FC6" w:rsidRDefault="00F364AE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364AE" w:rsidRPr="003012D9" w:rsidRDefault="00F364AE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F364AE" w:rsidRPr="003012D9" w:rsidRDefault="00F364AE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F364AE" w:rsidRPr="003012D9" w:rsidRDefault="00F364AE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F364AE" w:rsidRPr="003012D9" w:rsidRDefault="00F364AE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- декларація особи, уповноваженої на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lastRenderedPageBreak/>
              <w:t>виконанняфункційдержавиабомісцевогосамоврядування за 2016 рік.</w:t>
            </w:r>
          </w:p>
          <w:p w:rsidR="00F364AE" w:rsidRPr="003012D9" w:rsidRDefault="00F364AE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364AE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F364AE" w:rsidTr="00F364AE">
        <w:trPr>
          <w:trHeight w:val="495"/>
        </w:trPr>
        <w:tc>
          <w:tcPr>
            <w:tcW w:w="2782" w:type="dxa"/>
          </w:tcPr>
          <w:p w:rsidR="00F364AE" w:rsidRPr="00F364AE" w:rsidRDefault="00F364A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230" w:type="dxa"/>
          </w:tcPr>
          <w:p w:rsidR="00F364AE" w:rsidRPr="001A7D65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D65" w:rsidRPr="001A7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D65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</w:t>
            </w:r>
            <w:r w:rsidR="007F5825" w:rsidRPr="001A7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D65">
              <w:rPr>
                <w:rFonts w:ascii="Times New Roman" w:hAnsi="Times New Roman" w:cs="Times New Roman"/>
                <w:sz w:val="28"/>
                <w:szCs w:val="28"/>
              </w:rPr>
              <w:t xml:space="preserve">:00, Донецький апеляційний адміністративний суд, </w:t>
            </w:r>
          </w:p>
          <w:p w:rsidR="00F364AE" w:rsidRPr="001A7D65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5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F364AE" w:rsidRPr="0032711A" w:rsidRDefault="00F364AE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5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F364AE">
        <w:trPr>
          <w:trHeight w:val="495"/>
        </w:trPr>
        <w:tc>
          <w:tcPr>
            <w:tcW w:w="2782" w:type="dxa"/>
          </w:tcPr>
          <w:p w:rsidR="00D80059" w:rsidRPr="007F5825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230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031E1C">
        <w:trPr>
          <w:trHeight w:val="354"/>
        </w:trPr>
        <w:tc>
          <w:tcPr>
            <w:tcW w:w="10012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301112" w:rsidTr="00EC20F0">
        <w:trPr>
          <w:trHeight w:val="654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230" w:type="dxa"/>
          </w:tcPr>
          <w:p w:rsidR="00301112" w:rsidRPr="00A675EC" w:rsidRDefault="00301112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або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272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272F6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301112" w:rsidTr="00975BDA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230" w:type="dxa"/>
          </w:tcPr>
          <w:p w:rsidR="00301112" w:rsidRPr="00B458F8" w:rsidRDefault="00301112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301112" w:rsidRPr="00E725DD" w:rsidTr="00502640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7230" w:type="dxa"/>
          </w:tcPr>
          <w:p w:rsidR="00301112" w:rsidRPr="008E53AF" w:rsidRDefault="00301112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031E1C">
        <w:trPr>
          <w:trHeight w:val="212"/>
        </w:trPr>
        <w:tc>
          <w:tcPr>
            <w:tcW w:w="10012" w:type="dxa"/>
            <w:gridSpan w:val="2"/>
          </w:tcPr>
          <w:p w:rsidR="00C76FA4" w:rsidRPr="00C76FA4" w:rsidRDefault="00272F67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C1C91" w:rsidTr="007F5825">
        <w:trPr>
          <w:trHeight w:val="212"/>
        </w:trPr>
        <w:tc>
          <w:tcPr>
            <w:tcW w:w="2782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230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301112" w:rsidTr="001B7C90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7F5825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7230" w:type="dxa"/>
          </w:tcPr>
          <w:p w:rsidR="00301112" w:rsidRPr="00214ECF" w:rsidRDefault="00301112" w:rsidP="007F5825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301112" w:rsidRPr="00AF198F" w:rsidRDefault="00301112" w:rsidP="007F5825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08" w:firstLine="108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301112" w:rsidTr="00337926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7230" w:type="dxa"/>
          </w:tcPr>
          <w:p w:rsidR="00301112" w:rsidRPr="00214ECF" w:rsidRDefault="00301112" w:rsidP="007F5825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301112" w:rsidRPr="00AF198F" w:rsidRDefault="00301112" w:rsidP="007F5825">
            <w:pPr>
              <w:pStyle w:val="a3"/>
              <w:numPr>
                <w:ilvl w:val="0"/>
                <w:numId w:val="8"/>
              </w:numPr>
              <w:ind w:left="-108" w:firstLine="108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301112" w:rsidTr="007B5F33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7230" w:type="dxa"/>
          </w:tcPr>
          <w:p w:rsidR="00301112" w:rsidRPr="00214ECF" w:rsidRDefault="00301112" w:rsidP="007F5825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301112" w:rsidRPr="00214ECF" w:rsidRDefault="00301112" w:rsidP="007F5825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301112" w:rsidRPr="00214ECF" w:rsidRDefault="00301112" w:rsidP="007F5825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301112" w:rsidRPr="00214ECF" w:rsidRDefault="00301112" w:rsidP="007F5825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301112" w:rsidRPr="00AF198F" w:rsidRDefault="00301112" w:rsidP="007F5825">
            <w:pPr>
              <w:pStyle w:val="a3"/>
              <w:numPr>
                <w:ilvl w:val="0"/>
                <w:numId w:val="8"/>
              </w:numPr>
              <w:ind w:left="-108" w:firstLine="108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031E1C">
        <w:trPr>
          <w:trHeight w:val="212"/>
        </w:trPr>
        <w:tc>
          <w:tcPr>
            <w:tcW w:w="10012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7F5825">
        <w:trPr>
          <w:trHeight w:val="212"/>
        </w:trPr>
        <w:tc>
          <w:tcPr>
            <w:tcW w:w="2782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230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301112" w:rsidTr="00C9101D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Знання законодавства</w:t>
            </w:r>
          </w:p>
        </w:tc>
        <w:tc>
          <w:tcPr>
            <w:tcW w:w="7230" w:type="dxa"/>
          </w:tcPr>
          <w:p w:rsidR="00301112" w:rsidRDefault="00301112" w:rsidP="009A7A7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112" w:rsidRDefault="00301112" w:rsidP="009A7A7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112" w:rsidRDefault="00301112" w:rsidP="009A7A7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України «Про запобігання корупції»;</w:t>
            </w:r>
          </w:p>
          <w:p w:rsidR="00301112" w:rsidRPr="00C12E01" w:rsidRDefault="00301112" w:rsidP="007F582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2" w:rsidTr="001020D7">
        <w:trPr>
          <w:trHeight w:val="212"/>
        </w:trPr>
        <w:tc>
          <w:tcPr>
            <w:tcW w:w="2782" w:type="dxa"/>
          </w:tcPr>
          <w:p w:rsidR="00301112" w:rsidRPr="007F5825" w:rsidRDefault="00301112" w:rsidP="007F5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25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230" w:type="dxa"/>
          </w:tcPr>
          <w:p w:rsidR="00301112" w:rsidRPr="00C82BEE" w:rsidRDefault="00301112" w:rsidP="007F5825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</w:t>
            </w:r>
            <w:proofErr w:type="spellEnd"/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301112" w:rsidRPr="00C82BEE" w:rsidRDefault="00301112" w:rsidP="007F5825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Інструкція з діловодства в адміністративних судах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  <w:proofErr w:type="gramEnd"/>
          </w:p>
          <w:p w:rsidR="00301112" w:rsidRPr="00C82BEE" w:rsidRDefault="00301112" w:rsidP="007F5825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автоматизовану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301112" w:rsidRPr="00582691" w:rsidRDefault="00301112" w:rsidP="007F5825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01112" w:rsidRPr="00582691" w:rsidRDefault="00301112" w:rsidP="009A7A7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</w:t>
            </w:r>
            <w:r w:rsidRPr="00582691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судовий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збір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01112" w:rsidRPr="00582691" w:rsidRDefault="00301112" w:rsidP="009A7A7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Положенн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автоматизовану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301112" w:rsidRPr="00582691" w:rsidRDefault="00301112" w:rsidP="007F5825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Інструкція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діловодства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 xml:space="preserve"> судах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112" w:rsidRPr="00582691" w:rsidRDefault="00301112" w:rsidP="007F5825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Нормативно-правові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proofErr w:type="gramStart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82691">
              <w:rPr>
                <w:rFonts w:ascii="Times New Roman" w:hAnsi="Times New Roman"/>
                <w:sz w:val="28"/>
                <w:szCs w:val="28"/>
              </w:rPr>
              <w:t>ержавної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="003E5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691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82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112" w:rsidRPr="00582691" w:rsidRDefault="00301112" w:rsidP="007F5825">
            <w:pPr>
              <w:pStyle w:val="a7"/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нормативно-правові </w:t>
            </w:r>
            <w:r w:rsidRPr="00582691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Верховної РадиУкраїни, Кабінету Міністрів України, Ради суддів України.</w:t>
            </w:r>
          </w:p>
        </w:tc>
      </w:tr>
      <w:tr w:rsidR="00301112" w:rsidTr="009B6A50">
        <w:trPr>
          <w:trHeight w:val="212"/>
        </w:trPr>
        <w:tc>
          <w:tcPr>
            <w:tcW w:w="2782" w:type="dxa"/>
          </w:tcPr>
          <w:p w:rsidR="00301112" w:rsidRPr="009A7A75" w:rsidRDefault="00301112" w:rsidP="009A7A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75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7230" w:type="dxa"/>
          </w:tcPr>
          <w:p w:rsidR="00301112" w:rsidRPr="00902E8C" w:rsidRDefault="00301112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301112" w:rsidTr="005077A9">
        <w:trPr>
          <w:trHeight w:val="212"/>
        </w:trPr>
        <w:tc>
          <w:tcPr>
            <w:tcW w:w="2782" w:type="dxa"/>
          </w:tcPr>
          <w:p w:rsidR="00301112" w:rsidRPr="009A7A75" w:rsidRDefault="00301112" w:rsidP="009A7A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7A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професійних та сучасних інформаційних технологій</w:t>
            </w:r>
          </w:p>
        </w:tc>
        <w:tc>
          <w:tcPr>
            <w:tcW w:w="7230" w:type="dxa"/>
            <w:vAlign w:val="center"/>
          </w:tcPr>
          <w:p w:rsidR="00301112" w:rsidRPr="00885BBD" w:rsidRDefault="00301112" w:rsidP="009A7A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 xml:space="preserve">Знання правил, інструкцій та інших нормативно-правових  актів, які стосуються виконання посадових обов’язків, норм службової, практичне  застосування  нормативно-правових актів з питань проходження державної служби; вміння використовувати комп’ютерне  обладнання та програмне забезпечення, використовувати офісну техніку. Володіння ПК, вміння користуватися  оргтехнікою, знання програм 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«Діловодство спеціалізованого суду», </w:t>
            </w:r>
            <w:r w:rsidRPr="00885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885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112" w:rsidTr="00404C66">
        <w:trPr>
          <w:trHeight w:val="212"/>
        </w:trPr>
        <w:tc>
          <w:tcPr>
            <w:tcW w:w="2782" w:type="dxa"/>
          </w:tcPr>
          <w:p w:rsidR="00301112" w:rsidRPr="009A7A75" w:rsidRDefault="00301112" w:rsidP="009A7A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75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7230" w:type="dxa"/>
          </w:tcPr>
          <w:p w:rsidR="00301112" w:rsidRPr="00031E1C" w:rsidRDefault="00301112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3E539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31E1C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301112" w:rsidRPr="00A97CB0" w:rsidRDefault="00301112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031E1C">
      <w:pgSz w:w="11906" w:h="16838"/>
      <w:pgMar w:top="1276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3EFD"/>
    <w:multiLevelType w:val="hybridMultilevel"/>
    <w:tmpl w:val="4CFE140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6A6B"/>
    <w:multiLevelType w:val="hybridMultilevel"/>
    <w:tmpl w:val="CFB26A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5491D"/>
    <w:multiLevelType w:val="hybridMultilevel"/>
    <w:tmpl w:val="292AAA70"/>
    <w:lvl w:ilvl="0" w:tplc="4AD644A4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65A7768"/>
    <w:multiLevelType w:val="hybridMultilevel"/>
    <w:tmpl w:val="3436885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79B7"/>
    <w:multiLevelType w:val="hybridMultilevel"/>
    <w:tmpl w:val="55CCCDC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18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7"/>
  </w:num>
  <w:num w:numId="16">
    <w:abstractNumId w:val="9"/>
  </w:num>
  <w:num w:numId="17">
    <w:abstractNumId w:val="3"/>
  </w:num>
  <w:num w:numId="18">
    <w:abstractNumId w:val="15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26028"/>
    <w:rsid w:val="00031E1C"/>
    <w:rsid w:val="000328FD"/>
    <w:rsid w:val="00051BF4"/>
    <w:rsid w:val="00056F3F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A7D65"/>
    <w:rsid w:val="001B1A0C"/>
    <w:rsid w:val="001C11B6"/>
    <w:rsid w:val="001C5709"/>
    <w:rsid w:val="001D2114"/>
    <w:rsid w:val="00213B82"/>
    <w:rsid w:val="00214ECF"/>
    <w:rsid w:val="00231AEF"/>
    <w:rsid w:val="00267ECE"/>
    <w:rsid w:val="00272F67"/>
    <w:rsid w:val="002856C4"/>
    <w:rsid w:val="0029649A"/>
    <w:rsid w:val="002A7707"/>
    <w:rsid w:val="002C4125"/>
    <w:rsid w:val="002F065D"/>
    <w:rsid w:val="002F261B"/>
    <w:rsid w:val="00300CF9"/>
    <w:rsid w:val="00301112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B54A9"/>
    <w:rsid w:val="003B5723"/>
    <w:rsid w:val="003D398A"/>
    <w:rsid w:val="003E0EF3"/>
    <w:rsid w:val="003E539A"/>
    <w:rsid w:val="003F5D80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76F1B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82691"/>
    <w:rsid w:val="005909A9"/>
    <w:rsid w:val="005A3ECA"/>
    <w:rsid w:val="005B1FAB"/>
    <w:rsid w:val="005D69E1"/>
    <w:rsid w:val="005E1470"/>
    <w:rsid w:val="00626A38"/>
    <w:rsid w:val="006436CB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5825"/>
    <w:rsid w:val="007F671D"/>
    <w:rsid w:val="008058CB"/>
    <w:rsid w:val="008108B9"/>
    <w:rsid w:val="00820CA2"/>
    <w:rsid w:val="008808D2"/>
    <w:rsid w:val="00885BBD"/>
    <w:rsid w:val="00891D38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A7A75"/>
    <w:rsid w:val="009D7AD2"/>
    <w:rsid w:val="009E033D"/>
    <w:rsid w:val="009F7303"/>
    <w:rsid w:val="00A02DFB"/>
    <w:rsid w:val="00A251F4"/>
    <w:rsid w:val="00A52DB6"/>
    <w:rsid w:val="00A64AAC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5B39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A43CC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364AE"/>
    <w:rsid w:val="00F439BB"/>
    <w:rsid w:val="00F44E0F"/>
    <w:rsid w:val="00F52E13"/>
    <w:rsid w:val="00F77EB6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B113-446C-482C-B874-49ED3F36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4547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2017-10-10T14:29:00Z</cp:lastPrinted>
  <dcterms:created xsi:type="dcterms:W3CDTF">2016-10-20T15:26:00Z</dcterms:created>
  <dcterms:modified xsi:type="dcterms:W3CDTF">2017-12-26T08:43:00Z</dcterms:modified>
</cp:coreProperties>
</file>